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BCD0" w14:textId="77777777" w:rsidR="0001085C" w:rsidRDefault="00C31EE2" w:rsidP="00C31EE2">
      <w:pPr>
        <w:pStyle w:val="Heading1"/>
      </w:pPr>
      <w:r>
        <w:t>Extent of Play Agreement</w:t>
      </w:r>
    </w:p>
    <w:p w14:paraId="1694BCD1" w14:textId="49601844" w:rsidR="00C31EE2" w:rsidRPr="00C31EE2" w:rsidRDefault="00C31EE2" w:rsidP="00C31EE2">
      <w:pPr>
        <w:pStyle w:val="Subtitle"/>
      </w:pPr>
      <w:r w:rsidRPr="00C31EE2">
        <w:t xml:space="preserve">For </w:t>
      </w:r>
      <w:r w:rsidR="007F2D9E">
        <w:t>Shared Response 2019</w:t>
      </w:r>
    </w:p>
    <w:p w14:paraId="1694BCD2" w14:textId="06D19CF1" w:rsidR="00C31EE2" w:rsidRDefault="007F2D9E" w:rsidP="00C31EE2">
      <w:pPr>
        <w:pStyle w:val="Subtitle"/>
      </w:pPr>
      <w:r>
        <w:t>March 5-7, 2019</w:t>
      </w:r>
    </w:p>
    <w:p w14:paraId="1694BCD3" w14:textId="77777777" w:rsidR="00C31EE2" w:rsidRDefault="00C31EE2" w:rsidP="00C31EE2">
      <w:pPr>
        <w:pStyle w:val="Heading2"/>
      </w:pPr>
      <w:r>
        <w:t>Purpose</w:t>
      </w:r>
    </w:p>
    <w:p w14:paraId="1694BCD5" w14:textId="4FD25907" w:rsidR="00C31EE2" w:rsidRDefault="00C31EE2" w:rsidP="00C31EE2">
      <w:pPr>
        <w:pStyle w:val="BodyText"/>
      </w:pPr>
      <w:r>
        <w:t>This Extent of Play Agreement (XPA) identifies the conditions that will be used to develop, cond</w:t>
      </w:r>
      <w:r w:rsidR="007F2D9E">
        <w:t>uct, control, and evaluate the Shared Response Function</w:t>
      </w:r>
      <w:r w:rsidR="008F507A">
        <w:t>al</w:t>
      </w:r>
      <w:r w:rsidR="007F2D9E">
        <w:t xml:space="preserve"> Exercise in March 2019. The Idaho Office of Emergency Management would like to know the level of participation your organization intends to have in the exercise. </w:t>
      </w:r>
    </w:p>
    <w:p w14:paraId="1694BCD6" w14:textId="77777777" w:rsidR="00C31EE2" w:rsidRDefault="00C31EE2" w:rsidP="00C31EE2">
      <w:pPr>
        <w:pStyle w:val="Heading2"/>
      </w:pPr>
      <w:r>
        <w:t>Executive Summary</w:t>
      </w:r>
    </w:p>
    <w:p w14:paraId="1694BCD7" w14:textId="1B84C3F9" w:rsidR="00C31EE2" w:rsidRDefault="008F507A" w:rsidP="00C31EE2">
      <w:pPr>
        <w:pStyle w:val="BodyText"/>
      </w:pPr>
      <w:r>
        <w:t xml:space="preserve">The Idaho Office of Emergency Management is planning a 3 day functional exercise that will provide an opportunity for ESF partners to validate plans, policies, procedures, and capabilities in response to an earthquake that significantly impacts Southeast Idaho. </w:t>
      </w:r>
    </w:p>
    <w:p w14:paraId="1694BCD8" w14:textId="77777777" w:rsidR="00C31EE2" w:rsidRDefault="00C31EE2" w:rsidP="00C31EE2">
      <w:pPr>
        <w:pStyle w:val="Heading2"/>
      </w:pPr>
      <w:r>
        <w:t>Identified Exercise Objectives and Core Capabilities</w:t>
      </w:r>
    </w:p>
    <w:tbl>
      <w:tblPr>
        <w:tblStyle w:val="TableGrid"/>
        <w:tblW w:w="10473" w:type="dxa"/>
        <w:tblInd w:w="-568" w:type="dxa"/>
        <w:tblLook w:val="04A0" w:firstRow="1" w:lastRow="0" w:firstColumn="1" w:lastColumn="0" w:noHBand="0" w:noVBand="1"/>
        <w:tblCaption w:val="Exercise Objectives and Core Capabilities "/>
        <w:tblDescription w:val="Lists the core capability associated with each exercise objective. "/>
      </w:tblPr>
      <w:tblGrid>
        <w:gridCol w:w="8643"/>
        <w:gridCol w:w="1830"/>
      </w:tblGrid>
      <w:tr w:rsidR="00C31EE2" w:rsidRPr="006123CF" w14:paraId="1694BCDC" w14:textId="77777777" w:rsidTr="00332810">
        <w:trPr>
          <w:cantSplit/>
          <w:trHeight w:val="696"/>
          <w:tblHeader/>
        </w:trPr>
        <w:tc>
          <w:tcPr>
            <w:tcW w:w="8643" w:type="dxa"/>
            <w:shd w:val="clear" w:color="auto" w:fill="003366"/>
            <w:vAlign w:val="center"/>
          </w:tcPr>
          <w:p w14:paraId="1694BCDA" w14:textId="77777777" w:rsidR="00C31EE2" w:rsidRPr="006123CF" w:rsidRDefault="00C31EE2" w:rsidP="00047344">
            <w:pPr>
              <w:pStyle w:val="TableHead"/>
            </w:pPr>
            <w:r w:rsidRPr="006123CF">
              <w:t>Exercise Objective</w:t>
            </w:r>
          </w:p>
        </w:tc>
        <w:tc>
          <w:tcPr>
            <w:tcW w:w="1830" w:type="dxa"/>
            <w:shd w:val="clear" w:color="auto" w:fill="003366"/>
            <w:vAlign w:val="center"/>
          </w:tcPr>
          <w:p w14:paraId="1694BCDB" w14:textId="77777777" w:rsidR="00C31EE2" w:rsidRPr="006123CF" w:rsidRDefault="00C31EE2" w:rsidP="00047344">
            <w:pPr>
              <w:pStyle w:val="TableHead"/>
            </w:pPr>
            <w:r w:rsidRPr="006123CF">
              <w:t>Aligned Core Capability</w:t>
            </w:r>
          </w:p>
        </w:tc>
      </w:tr>
      <w:tr w:rsidR="00C31EE2" w:rsidRPr="00332810" w14:paraId="1694BCDF" w14:textId="77777777" w:rsidTr="00332810">
        <w:trPr>
          <w:cantSplit/>
          <w:trHeight w:val="2087"/>
          <w:tblHeader/>
        </w:trPr>
        <w:tc>
          <w:tcPr>
            <w:tcW w:w="8643" w:type="dxa"/>
            <w:vAlign w:val="center"/>
          </w:tcPr>
          <w:p w14:paraId="25B68C3C" w14:textId="77777777" w:rsidR="00C31EE2" w:rsidRPr="00332810" w:rsidRDefault="00557C42" w:rsidP="00557C42">
            <w:pPr>
              <w:pStyle w:val="TableText"/>
              <w:numPr>
                <w:ilvl w:val="0"/>
                <w:numId w:val="11"/>
              </w:numPr>
              <w:jc w:val="left"/>
              <w:rPr>
                <w:rFonts w:ascii="Times New Roman" w:hAnsi="Times New Roman" w:cs="Times New Roman"/>
                <w:sz w:val="22"/>
              </w:rPr>
            </w:pPr>
            <w:r w:rsidRPr="00332810">
              <w:rPr>
                <w:rFonts w:ascii="Times New Roman" w:hAnsi="Times New Roman" w:cs="Times New Roman"/>
                <w:sz w:val="22"/>
              </w:rPr>
              <w:t xml:space="preserve">Implement risk-informed guidelines, regulations, and standards to ensure the security, reliability, integrity, and availability of critical information, records, and communications systems and services through collaborative cybersecurity initiatives and efforts. </w:t>
            </w:r>
          </w:p>
          <w:p w14:paraId="1694BCDD" w14:textId="558DCCF5" w:rsidR="00557C42" w:rsidRPr="00332810" w:rsidRDefault="00557C42" w:rsidP="00557C42">
            <w:pPr>
              <w:pStyle w:val="TableText"/>
              <w:numPr>
                <w:ilvl w:val="0"/>
                <w:numId w:val="11"/>
              </w:numPr>
              <w:jc w:val="left"/>
              <w:rPr>
                <w:rFonts w:ascii="Times New Roman" w:hAnsi="Times New Roman" w:cs="Times New Roman"/>
                <w:sz w:val="22"/>
              </w:rPr>
            </w:pPr>
            <w:r w:rsidRPr="00332810">
              <w:rPr>
                <w:rFonts w:ascii="Times New Roman" w:hAnsi="Times New Roman" w:cs="Times New Roman"/>
                <w:color w:val="1A1A1A"/>
                <w:sz w:val="22"/>
                <w:szCs w:val="20"/>
              </w:rPr>
              <w:t>Implement and maintain procedures to detect malicious activity and to conduct technical and investigative</w:t>
            </w:r>
            <w:r w:rsidRPr="00332810">
              <w:rPr>
                <w:rFonts w:ascii="Times New Roman" w:hAnsi="Times New Roman" w:cs="Times New Roman"/>
                <w:color w:val="1A1A1A"/>
                <w:sz w:val="22"/>
                <w:szCs w:val="20"/>
              </w:rPr>
              <w:t xml:space="preserve">-based countermeasures, mitigations, and operations against malicious actors to counter existing and emerging cyber-based threats, consistent with established protocols. </w:t>
            </w:r>
          </w:p>
        </w:tc>
        <w:tc>
          <w:tcPr>
            <w:tcW w:w="1830" w:type="dxa"/>
            <w:vAlign w:val="center"/>
          </w:tcPr>
          <w:p w14:paraId="1694BCDE" w14:textId="6806EF67" w:rsidR="00C31EE2" w:rsidRPr="00332810" w:rsidRDefault="00557C42" w:rsidP="00047344">
            <w:pPr>
              <w:pStyle w:val="TableText"/>
              <w:rPr>
                <w:rFonts w:ascii="Times New Roman" w:hAnsi="Times New Roman" w:cs="Times New Roman"/>
                <w:sz w:val="22"/>
              </w:rPr>
            </w:pPr>
            <w:r w:rsidRPr="00332810">
              <w:rPr>
                <w:rFonts w:ascii="Times New Roman" w:hAnsi="Times New Roman" w:cs="Times New Roman"/>
                <w:sz w:val="22"/>
              </w:rPr>
              <w:t>Cyber Security</w:t>
            </w:r>
          </w:p>
        </w:tc>
      </w:tr>
      <w:tr w:rsidR="00C31EE2" w:rsidRPr="00332810" w14:paraId="1694BCE2" w14:textId="77777777" w:rsidTr="00332810">
        <w:trPr>
          <w:cantSplit/>
          <w:trHeight w:val="2438"/>
          <w:tblHeader/>
        </w:trPr>
        <w:tc>
          <w:tcPr>
            <w:tcW w:w="8643" w:type="dxa"/>
            <w:vAlign w:val="center"/>
          </w:tcPr>
          <w:p w14:paraId="72FC0F3A" w14:textId="77777777" w:rsidR="00332810" w:rsidRPr="00332810" w:rsidRDefault="00557C42" w:rsidP="00332810">
            <w:pPr>
              <w:pStyle w:val="TableText"/>
              <w:numPr>
                <w:ilvl w:val="0"/>
                <w:numId w:val="12"/>
              </w:numPr>
              <w:jc w:val="left"/>
              <w:rPr>
                <w:rFonts w:ascii="Times New Roman" w:hAnsi="Times New Roman" w:cs="Times New Roman"/>
                <w:sz w:val="22"/>
              </w:rPr>
            </w:pPr>
            <w:r w:rsidRPr="00332810">
              <w:rPr>
                <w:rFonts w:ascii="Times New Roman" w:hAnsi="Times New Roman" w:cs="Times New Roman"/>
                <w:sz w:val="22"/>
              </w:rPr>
              <w:t xml:space="preserve">Ensure the capacity to communicate with both the emergency response community and the affected populations and establish </w:t>
            </w:r>
            <w:r w:rsidR="00332810" w:rsidRPr="00332810">
              <w:rPr>
                <w:rFonts w:ascii="Times New Roman" w:hAnsi="Times New Roman" w:cs="Times New Roman"/>
                <w:sz w:val="22"/>
              </w:rPr>
              <w:t>interoperable</w:t>
            </w:r>
            <w:r w:rsidRPr="00332810">
              <w:rPr>
                <w:rFonts w:ascii="Times New Roman" w:hAnsi="Times New Roman" w:cs="Times New Roman"/>
                <w:sz w:val="22"/>
              </w:rPr>
              <w:t xml:space="preserve"> voice and data communications between Federal, tribal, state and local first responders.</w:t>
            </w:r>
          </w:p>
          <w:p w14:paraId="07981585" w14:textId="77777777" w:rsidR="00332810" w:rsidRPr="00332810" w:rsidRDefault="00332810" w:rsidP="00332810">
            <w:pPr>
              <w:pStyle w:val="TableText"/>
              <w:numPr>
                <w:ilvl w:val="0"/>
                <w:numId w:val="12"/>
              </w:numPr>
              <w:jc w:val="left"/>
              <w:rPr>
                <w:rFonts w:ascii="Times New Roman" w:hAnsi="Times New Roman" w:cs="Times New Roman"/>
                <w:sz w:val="22"/>
              </w:rPr>
            </w:pPr>
            <w:r w:rsidRPr="00332810">
              <w:rPr>
                <w:rFonts w:ascii="Times New Roman" w:hAnsi="Times New Roman" w:cs="Times New Roman"/>
                <w:sz w:val="22"/>
              </w:rPr>
              <w:t>Re-establish sufficient communications infrastructure within the affected areas to support ongoing life-sustaining activities, provide basic human needs, and transition to recovery.</w:t>
            </w:r>
          </w:p>
          <w:p w14:paraId="1694BCE0" w14:textId="399DCEA1" w:rsidR="00C31EE2" w:rsidRPr="00332810" w:rsidRDefault="00332810" w:rsidP="00332810">
            <w:pPr>
              <w:pStyle w:val="TableText"/>
              <w:numPr>
                <w:ilvl w:val="0"/>
                <w:numId w:val="12"/>
              </w:numPr>
              <w:jc w:val="left"/>
              <w:rPr>
                <w:rFonts w:ascii="Times New Roman" w:hAnsi="Times New Roman" w:cs="Times New Roman"/>
                <w:sz w:val="22"/>
              </w:rPr>
            </w:pPr>
            <w:r w:rsidRPr="00332810">
              <w:rPr>
                <w:rFonts w:ascii="Times New Roman" w:hAnsi="Times New Roman" w:cs="Times New Roman"/>
                <w:sz w:val="22"/>
              </w:rPr>
              <w:t xml:space="preserve">Re-establish critical information networks, including cybersecurity information sharing networks, in order to inform situational awareness, enable incident response, and support the resiliency of key systems. </w:t>
            </w:r>
            <w:r w:rsidR="00557C42" w:rsidRPr="00332810">
              <w:rPr>
                <w:rFonts w:ascii="Times New Roman" w:hAnsi="Times New Roman" w:cs="Times New Roman"/>
                <w:sz w:val="22"/>
              </w:rPr>
              <w:t xml:space="preserve"> </w:t>
            </w:r>
          </w:p>
        </w:tc>
        <w:tc>
          <w:tcPr>
            <w:tcW w:w="1830" w:type="dxa"/>
            <w:vAlign w:val="center"/>
          </w:tcPr>
          <w:p w14:paraId="1694BCE1" w14:textId="4F2A3014" w:rsidR="00C31EE2" w:rsidRPr="00332810" w:rsidRDefault="00332810" w:rsidP="00047344">
            <w:pPr>
              <w:pStyle w:val="TableText"/>
              <w:rPr>
                <w:rFonts w:ascii="Times New Roman" w:hAnsi="Times New Roman" w:cs="Times New Roman"/>
                <w:sz w:val="22"/>
              </w:rPr>
            </w:pPr>
            <w:r w:rsidRPr="00332810">
              <w:rPr>
                <w:rFonts w:ascii="Times New Roman" w:hAnsi="Times New Roman" w:cs="Times New Roman"/>
                <w:sz w:val="22"/>
              </w:rPr>
              <w:t>Operational Communication</w:t>
            </w:r>
          </w:p>
        </w:tc>
      </w:tr>
      <w:tr w:rsidR="00C31EE2" w:rsidRPr="00332810" w14:paraId="1694BCE5" w14:textId="77777777" w:rsidTr="00332810">
        <w:trPr>
          <w:cantSplit/>
          <w:trHeight w:val="1853"/>
          <w:tblHeader/>
        </w:trPr>
        <w:tc>
          <w:tcPr>
            <w:tcW w:w="8643" w:type="dxa"/>
            <w:vAlign w:val="center"/>
          </w:tcPr>
          <w:p w14:paraId="6941ED72" w14:textId="77777777" w:rsidR="00332810" w:rsidRPr="00332810" w:rsidRDefault="00332810" w:rsidP="00332810">
            <w:pPr>
              <w:pStyle w:val="TableText"/>
              <w:numPr>
                <w:ilvl w:val="0"/>
                <w:numId w:val="13"/>
              </w:numPr>
              <w:jc w:val="left"/>
              <w:rPr>
                <w:rFonts w:ascii="Times New Roman" w:hAnsi="Times New Roman" w:cs="Times New Roman"/>
                <w:sz w:val="22"/>
              </w:rPr>
            </w:pPr>
            <w:r w:rsidRPr="00332810">
              <w:rPr>
                <w:rFonts w:ascii="Times New Roman" w:hAnsi="Times New Roman" w:cs="Times New Roman"/>
                <w:sz w:val="22"/>
              </w:rPr>
              <w:t xml:space="preserve">Mobilize all critical resources and establish command, control and coordination structures within the affected community and other coordinating bodies in surrounding communit8ies and across the Nation and maintain as needed throughout the duration of an incident. </w:t>
            </w:r>
          </w:p>
          <w:p w14:paraId="1694BCE3" w14:textId="2A918010" w:rsidR="00332810" w:rsidRPr="00332810" w:rsidRDefault="00332810" w:rsidP="00332810">
            <w:pPr>
              <w:pStyle w:val="TableText"/>
              <w:numPr>
                <w:ilvl w:val="0"/>
                <w:numId w:val="13"/>
              </w:numPr>
              <w:jc w:val="left"/>
              <w:rPr>
                <w:rFonts w:ascii="Times New Roman" w:hAnsi="Times New Roman" w:cs="Times New Roman"/>
                <w:sz w:val="22"/>
              </w:rPr>
            </w:pPr>
            <w:r w:rsidRPr="00332810">
              <w:rPr>
                <w:rFonts w:ascii="Times New Roman" w:hAnsi="Times New Roman" w:cs="Times New Roman"/>
                <w:sz w:val="22"/>
              </w:rPr>
              <w:t xml:space="preserve">Enhance and maintain command, control, and coordination structures, consistent with the National Incident Management System (NIMS), to meet basic human needs, stabilize the incident, and transition to recovery. </w:t>
            </w:r>
          </w:p>
        </w:tc>
        <w:tc>
          <w:tcPr>
            <w:tcW w:w="1830" w:type="dxa"/>
            <w:vAlign w:val="center"/>
          </w:tcPr>
          <w:p w14:paraId="1694BCE4" w14:textId="4407607C" w:rsidR="00C31EE2" w:rsidRPr="00332810" w:rsidRDefault="00332810" w:rsidP="00047344">
            <w:pPr>
              <w:pStyle w:val="TableText"/>
              <w:rPr>
                <w:rFonts w:ascii="Times New Roman" w:hAnsi="Times New Roman" w:cs="Times New Roman"/>
                <w:sz w:val="22"/>
              </w:rPr>
            </w:pPr>
            <w:r w:rsidRPr="00332810">
              <w:rPr>
                <w:rFonts w:ascii="Times New Roman" w:hAnsi="Times New Roman" w:cs="Times New Roman"/>
                <w:sz w:val="22"/>
              </w:rPr>
              <w:t>Operational Coordination</w:t>
            </w:r>
          </w:p>
        </w:tc>
      </w:tr>
    </w:tbl>
    <w:p w14:paraId="1F21B684" w14:textId="77777777" w:rsidR="00332810" w:rsidRDefault="00332810" w:rsidP="006123CF">
      <w:pPr>
        <w:pStyle w:val="Heading2"/>
      </w:pPr>
    </w:p>
    <w:p w14:paraId="1694BCE9" w14:textId="6782C739" w:rsidR="00C31EE2" w:rsidRDefault="006123CF" w:rsidP="006123CF">
      <w:pPr>
        <w:pStyle w:val="Heading2"/>
      </w:pPr>
      <w:r>
        <w:t>Standards &amp; References</w:t>
      </w:r>
    </w:p>
    <w:p w14:paraId="1694BCEB" w14:textId="7D892A18" w:rsidR="006123CF" w:rsidRDefault="00332810" w:rsidP="006123CF">
      <w:pPr>
        <w:pStyle w:val="BodyText"/>
      </w:pPr>
      <w:r>
        <w:t xml:space="preserve">The Idaho Office of Emergency Management </w:t>
      </w:r>
      <w:r w:rsidR="006123CF">
        <w:t>will use the following references, plans, and procedures during exercise play:</w:t>
      </w:r>
    </w:p>
    <w:p w14:paraId="1694BCEC" w14:textId="1C9D63C7" w:rsidR="006123CF" w:rsidRDefault="00332810" w:rsidP="006123CF">
      <w:pPr>
        <w:pStyle w:val="ListBullet"/>
      </w:pPr>
      <w:r>
        <w:t>State of Idaho EOP</w:t>
      </w:r>
    </w:p>
    <w:p w14:paraId="1694BCEF" w14:textId="77777777" w:rsidR="006123CF" w:rsidRDefault="006123CF" w:rsidP="006123CF">
      <w:pPr>
        <w:pStyle w:val="Heading2"/>
      </w:pPr>
      <w:r>
        <w:t>Exercise Parameters</w:t>
      </w:r>
    </w:p>
    <w:p w14:paraId="25E47067" w14:textId="77777777" w:rsidR="000B467B" w:rsidRDefault="00BA4D6F" w:rsidP="006123CF">
      <w:pPr>
        <w:pStyle w:val="BodyText"/>
      </w:pPr>
      <w:r>
        <w:t xml:space="preserve">The exercise will be a 3 day functional exercise at Gowen Field in the State EOC with a </w:t>
      </w:r>
      <w:r w:rsidR="000B467B">
        <w:t xml:space="preserve">separate </w:t>
      </w:r>
      <w:proofErr w:type="spellStart"/>
      <w:r>
        <w:t>SimCell</w:t>
      </w:r>
      <w:proofErr w:type="spellEnd"/>
      <w:r>
        <w:t xml:space="preserve"> for MSEL execution. </w:t>
      </w:r>
    </w:p>
    <w:p w14:paraId="0D6C5BD3" w14:textId="77777777" w:rsidR="000B467B" w:rsidRDefault="000B467B" w:rsidP="006123CF">
      <w:pPr>
        <w:pStyle w:val="BodyText"/>
      </w:pPr>
      <w:r>
        <w:t xml:space="preserve">Scenario: </w:t>
      </w:r>
    </w:p>
    <w:p w14:paraId="46C96A52" w14:textId="77777777" w:rsidR="000B467B" w:rsidRDefault="000B467B" w:rsidP="006123CF">
      <w:pPr>
        <w:pStyle w:val="BodyText"/>
      </w:pPr>
      <w:r>
        <w:t xml:space="preserve">M7.5 Earthquake in Bannock County, along the Wasatch Fault 20 miles south of Lava Hot Springs. A major landslide has been reported along US 30 in Lava Hot Springs with derailment of a train just above the highway. Train was carrying sulfuric acid, which is threatening to enter the </w:t>
      </w:r>
      <w:proofErr w:type="spellStart"/>
      <w:r>
        <w:t>Portneuf</w:t>
      </w:r>
      <w:proofErr w:type="spellEnd"/>
      <w:r>
        <w:t xml:space="preserve"> River below.</w:t>
      </w:r>
    </w:p>
    <w:tbl>
      <w:tblPr>
        <w:tblpPr w:leftFromText="180" w:rightFromText="180" w:vertAnchor="text" w:horzAnchor="margin" w:tblpY="349"/>
        <w:tblW w:w="9723" w:type="dxa"/>
        <w:tblCellMar>
          <w:left w:w="0" w:type="dxa"/>
          <w:right w:w="0" w:type="dxa"/>
        </w:tblCellMar>
        <w:tblLook w:val="04A0" w:firstRow="1" w:lastRow="0" w:firstColumn="1" w:lastColumn="0" w:noHBand="0" w:noVBand="1"/>
      </w:tblPr>
      <w:tblGrid>
        <w:gridCol w:w="363"/>
        <w:gridCol w:w="3137"/>
        <w:gridCol w:w="3109"/>
        <w:gridCol w:w="3114"/>
      </w:tblGrid>
      <w:tr w:rsidR="002770F7" w14:paraId="770391B6" w14:textId="77777777" w:rsidTr="002770F7">
        <w:trPr>
          <w:trHeight w:val="184"/>
        </w:trPr>
        <w:tc>
          <w:tcPr>
            <w:tcW w:w="3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3A8156" w14:textId="77777777" w:rsidR="002770F7" w:rsidRDefault="002770F7" w:rsidP="002770F7"/>
        </w:tc>
        <w:tc>
          <w:tcPr>
            <w:tcW w:w="31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808CAB" w14:textId="1636F9FC" w:rsidR="002770F7" w:rsidRDefault="002770F7" w:rsidP="002770F7">
            <w:pPr>
              <w:rPr>
                <w:rFonts w:ascii="Calibri" w:hAnsi="Calibri" w:cs="Calibri"/>
                <w:color w:val="000000"/>
              </w:rPr>
            </w:pPr>
            <w:r>
              <w:rPr>
                <w:color w:val="000000"/>
              </w:rPr>
              <w:t xml:space="preserve">Possible </w:t>
            </w:r>
            <w:r>
              <w:rPr>
                <w:color w:val="000000"/>
              </w:rPr>
              <w:t>incident</w:t>
            </w:r>
            <w:r>
              <w:rPr>
                <w:color w:val="000000"/>
              </w:rPr>
              <w:t>s</w:t>
            </w:r>
          </w:p>
        </w:tc>
        <w:tc>
          <w:tcPr>
            <w:tcW w:w="3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A16074" w14:textId="77777777" w:rsidR="002770F7" w:rsidRDefault="002770F7" w:rsidP="002770F7">
            <w:pPr>
              <w:rPr>
                <w:color w:val="000000"/>
              </w:rPr>
            </w:pPr>
            <w:proofErr w:type="spellStart"/>
            <w:r>
              <w:rPr>
                <w:color w:val="000000"/>
              </w:rPr>
              <w:t>Desc</w:t>
            </w:r>
            <w:proofErr w:type="spellEnd"/>
          </w:p>
        </w:tc>
        <w:tc>
          <w:tcPr>
            <w:tcW w:w="31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FDFDEF" w14:textId="77777777" w:rsidR="002770F7" w:rsidRDefault="002770F7" w:rsidP="002770F7">
            <w:pPr>
              <w:rPr>
                <w:color w:val="000000"/>
              </w:rPr>
            </w:pPr>
            <w:r>
              <w:rPr>
                <w:color w:val="000000"/>
              </w:rPr>
              <w:t>Location</w:t>
            </w:r>
          </w:p>
        </w:tc>
      </w:tr>
      <w:tr w:rsidR="002770F7" w14:paraId="5945B5D2"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F9F5CA" w14:textId="77777777" w:rsidR="002770F7" w:rsidRDefault="002770F7" w:rsidP="002770F7">
            <w:pPr>
              <w:jc w:val="right"/>
              <w:rPr>
                <w:color w:val="000000"/>
              </w:rPr>
            </w:pPr>
            <w:r>
              <w:rPr>
                <w:color w:val="000000"/>
              </w:rPr>
              <w:t>1</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73E32" w14:textId="77777777" w:rsidR="002770F7" w:rsidRDefault="002770F7" w:rsidP="002770F7">
            <w:pPr>
              <w:rPr>
                <w:color w:val="000000"/>
              </w:rPr>
            </w:pPr>
            <w:r>
              <w:rPr>
                <w:color w:val="000000"/>
              </w:rPr>
              <w:t xml:space="preserve">Overpass Failure </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9C8A6" w14:textId="77777777" w:rsidR="002770F7" w:rsidRDefault="002770F7" w:rsidP="002770F7">
            <w:pPr>
              <w:rPr>
                <w:color w:val="000000"/>
              </w:rPr>
            </w:pPr>
            <w:r>
              <w:rPr>
                <w:color w:val="000000"/>
              </w:rPr>
              <w:t>Petroleum rupture</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362E5" w14:textId="77777777" w:rsidR="002770F7" w:rsidRDefault="002770F7" w:rsidP="002770F7">
            <w:pPr>
              <w:rPr>
                <w:color w:val="000000"/>
              </w:rPr>
            </w:pPr>
            <w:proofErr w:type="spellStart"/>
            <w:r>
              <w:rPr>
                <w:color w:val="000000"/>
              </w:rPr>
              <w:t>Inkom</w:t>
            </w:r>
            <w:proofErr w:type="spellEnd"/>
            <w:r>
              <w:rPr>
                <w:color w:val="000000"/>
              </w:rPr>
              <w:t xml:space="preserve"> – I15</w:t>
            </w:r>
          </w:p>
        </w:tc>
      </w:tr>
      <w:tr w:rsidR="002770F7" w14:paraId="49FE2F67"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5D0FD4" w14:textId="77777777" w:rsidR="002770F7" w:rsidRDefault="002770F7" w:rsidP="002770F7">
            <w:pPr>
              <w:jc w:val="right"/>
              <w:rPr>
                <w:color w:val="000000"/>
              </w:rPr>
            </w:pPr>
            <w:r>
              <w:rPr>
                <w:color w:val="000000"/>
              </w:rPr>
              <w:t>2</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5305A" w14:textId="77777777" w:rsidR="002770F7" w:rsidRDefault="002770F7" w:rsidP="002770F7">
            <w:pPr>
              <w:rPr>
                <w:color w:val="000000"/>
              </w:rPr>
            </w:pPr>
            <w:r>
              <w:rPr>
                <w:color w:val="000000"/>
              </w:rPr>
              <w:t xml:space="preserve">Overpass Failure </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8CBB98" w14:textId="55FF1866" w:rsidR="002770F7" w:rsidRDefault="002770F7" w:rsidP="002770F7">
            <w:pPr>
              <w:rPr>
                <w:color w:val="000000"/>
              </w:rPr>
            </w:pPr>
            <w:r>
              <w:rPr>
                <w:color w:val="000000"/>
              </w:rPr>
              <w:t xml:space="preserve">I 86 railway underpass </w:t>
            </w:r>
            <w:r>
              <w:rPr>
                <w:color w:val="000000"/>
              </w:rPr>
              <w:t>collapse</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59A53" w14:textId="77777777" w:rsidR="002770F7" w:rsidRDefault="002770F7" w:rsidP="002770F7">
            <w:pPr>
              <w:rPr>
                <w:color w:val="000000"/>
              </w:rPr>
            </w:pPr>
            <w:r>
              <w:rPr>
                <w:color w:val="000000"/>
              </w:rPr>
              <w:t>Pocatello – I86</w:t>
            </w:r>
          </w:p>
        </w:tc>
      </w:tr>
      <w:tr w:rsidR="002770F7" w14:paraId="53501EDF"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D66AC" w14:textId="77777777" w:rsidR="002770F7" w:rsidRDefault="002770F7" w:rsidP="002770F7">
            <w:pPr>
              <w:jc w:val="right"/>
              <w:rPr>
                <w:color w:val="000000"/>
              </w:rPr>
            </w:pPr>
            <w:r>
              <w:rPr>
                <w:color w:val="000000"/>
              </w:rPr>
              <w:t>3</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8AFAB" w14:textId="77777777" w:rsidR="002770F7" w:rsidRDefault="002770F7" w:rsidP="002770F7">
            <w:pPr>
              <w:rPr>
                <w:color w:val="000000"/>
              </w:rPr>
            </w:pPr>
            <w:r>
              <w:rPr>
                <w:color w:val="000000"/>
              </w:rPr>
              <w:t>Runway</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83580" w14:textId="5F8FBE75" w:rsidR="002770F7" w:rsidRDefault="002770F7" w:rsidP="002770F7">
            <w:pPr>
              <w:rPr>
                <w:color w:val="000000"/>
              </w:rPr>
            </w:pPr>
            <w:r>
              <w:rPr>
                <w:color w:val="000000"/>
              </w:rPr>
              <w:t>Compromised</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392513" w14:textId="77777777" w:rsidR="002770F7" w:rsidRDefault="002770F7" w:rsidP="002770F7">
            <w:pPr>
              <w:rPr>
                <w:color w:val="000000"/>
              </w:rPr>
            </w:pPr>
            <w:r>
              <w:rPr>
                <w:color w:val="000000"/>
              </w:rPr>
              <w:t>Pocatello Regional Airport</w:t>
            </w:r>
          </w:p>
        </w:tc>
      </w:tr>
      <w:tr w:rsidR="002770F7" w14:paraId="7FF996FB"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BD2A1A" w14:textId="77777777" w:rsidR="002770F7" w:rsidRDefault="002770F7" w:rsidP="002770F7">
            <w:pPr>
              <w:jc w:val="right"/>
              <w:rPr>
                <w:color w:val="000000"/>
              </w:rPr>
            </w:pPr>
            <w:r>
              <w:rPr>
                <w:color w:val="000000"/>
              </w:rPr>
              <w:t>4</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50029" w14:textId="77777777" w:rsidR="002770F7" w:rsidRDefault="002770F7" w:rsidP="002770F7">
            <w:pPr>
              <w:rPr>
                <w:color w:val="000000"/>
              </w:rPr>
            </w:pPr>
            <w:r>
              <w:rPr>
                <w:color w:val="000000"/>
              </w:rPr>
              <w:t>Railway</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E40122" w14:textId="48124702" w:rsidR="002770F7" w:rsidRDefault="002770F7" w:rsidP="002770F7">
            <w:pPr>
              <w:rPr>
                <w:color w:val="000000"/>
              </w:rPr>
            </w:pPr>
            <w:r>
              <w:rPr>
                <w:color w:val="000000"/>
              </w:rPr>
              <w:t>Derailment HAZMAT</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C3FD4" w14:textId="77777777" w:rsidR="002770F7" w:rsidRDefault="002770F7" w:rsidP="002770F7">
            <w:pPr>
              <w:rPr>
                <w:color w:val="000000"/>
              </w:rPr>
            </w:pPr>
            <w:r>
              <w:rPr>
                <w:color w:val="000000"/>
              </w:rPr>
              <w:t>Lava Hot Springs</w:t>
            </w:r>
          </w:p>
        </w:tc>
      </w:tr>
      <w:tr w:rsidR="002770F7" w14:paraId="3135B45E"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221BC3" w14:textId="77777777" w:rsidR="002770F7" w:rsidRDefault="002770F7" w:rsidP="002770F7">
            <w:pPr>
              <w:jc w:val="right"/>
              <w:rPr>
                <w:color w:val="000000"/>
              </w:rPr>
            </w:pPr>
            <w:r>
              <w:rPr>
                <w:color w:val="000000"/>
              </w:rPr>
              <w:t>5</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FD5FE" w14:textId="77777777" w:rsidR="002770F7" w:rsidRDefault="002770F7" w:rsidP="002770F7">
            <w:pPr>
              <w:rPr>
                <w:color w:val="000000"/>
              </w:rPr>
            </w:pPr>
            <w:r>
              <w:rPr>
                <w:color w:val="000000"/>
              </w:rPr>
              <w:t>Tank Farm</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1360F" w14:textId="1D42289E" w:rsidR="002770F7" w:rsidRDefault="002770F7" w:rsidP="002770F7">
            <w:pPr>
              <w:rPr>
                <w:color w:val="000000"/>
              </w:rPr>
            </w:pPr>
            <w:r>
              <w:rPr>
                <w:color w:val="000000"/>
              </w:rPr>
              <w:t>Rupture? Leak?</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3AD8B" w14:textId="77777777" w:rsidR="002770F7" w:rsidRDefault="002770F7" w:rsidP="002770F7">
            <w:pPr>
              <w:rPr>
                <w:color w:val="000000"/>
              </w:rPr>
            </w:pPr>
            <w:r>
              <w:rPr>
                <w:color w:val="000000"/>
              </w:rPr>
              <w:t>Pocatello</w:t>
            </w:r>
          </w:p>
        </w:tc>
      </w:tr>
      <w:tr w:rsidR="002770F7" w14:paraId="4A069C9F" w14:textId="77777777" w:rsidTr="002770F7">
        <w:trPr>
          <w:trHeight w:val="493"/>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555230" w14:textId="77777777" w:rsidR="002770F7" w:rsidRDefault="002770F7" w:rsidP="002770F7">
            <w:pPr>
              <w:jc w:val="right"/>
              <w:rPr>
                <w:color w:val="000000"/>
              </w:rPr>
            </w:pPr>
            <w:r>
              <w:rPr>
                <w:color w:val="000000"/>
              </w:rPr>
              <w:t>6</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3EE5B1" w14:textId="77777777" w:rsidR="002770F7" w:rsidRDefault="002770F7" w:rsidP="002770F7">
            <w:pPr>
              <w:rPr>
                <w:color w:val="000000"/>
              </w:rPr>
            </w:pPr>
            <w:r>
              <w:rPr>
                <w:color w:val="000000"/>
              </w:rPr>
              <w:t>Communication Loss</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FE5A4A" w14:textId="177FCFC9" w:rsidR="002770F7" w:rsidRDefault="002770F7" w:rsidP="002770F7">
            <w:pPr>
              <w:rPr>
                <w:color w:val="000000"/>
              </w:rPr>
            </w:pP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14E52" w14:textId="7948587D" w:rsidR="002770F7" w:rsidRDefault="002770F7" w:rsidP="002770F7">
            <w:pPr>
              <w:rPr>
                <w:color w:val="000000"/>
              </w:rPr>
            </w:pPr>
            <w:r>
              <w:rPr>
                <w:color w:val="000000"/>
              </w:rPr>
              <w:t xml:space="preserve">Chinese and/or </w:t>
            </w:r>
            <w:r>
              <w:rPr>
                <w:color w:val="000000"/>
              </w:rPr>
              <w:t>Sedgwick Peak</w:t>
            </w:r>
          </w:p>
        </w:tc>
      </w:tr>
      <w:tr w:rsidR="002770F7" w14:paraId="45A6D85D"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34AC3" w14:textId="77777777" w:rsidR="002770F7" w:rsidRDefault="002770F7" w:rsidP="002770F7">
            <w:pPr>
              <w:jc w:val="right"/>
              <w:rPr>
                <w:color w:val="000000"/>
              </w:rPr>
            </w:pPr>
            <w:r>
              <w:rPr>
                <w:color w:val="000000"/>
              </w:rPr>
              <w:t>7</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81439" w14:textId="77777777" w:rsidR="002770F7" w:rsidRDefault="002770F7" w:rsidP="002770F7">
            <w:pPr>
              <w:rPr>
                <w:color w:val="000000"/>
              </w:rPr>
            </w:pPr>
            <w:r>
              <w:rPr>
                <w:color w:val="000000"/>
              </w:rPr>
              <w:t>Simplot Don Plant Exposure</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CB270" w14:textId="77777777" w:rsidR="002770F7" w:rsidRDefault="002770F7" w:rsidP="002770F7">
            <w:pPr>
              <w:rPr>
                <w:color w:val="000000"/>
              </w:rPr>
            </w:pPr>
            <w:r>
              <w:rPr>
                <w:color w:val="000000"/>
              </w:rPr>
              <w:t>Anhydrous Ammonia</w:t>
            </w: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964375" w14:textId="77777777" w:rsidR="002770F7" w:rsidRDefault="002770F7" w:rsidP="002770F7">
            <w:pPr>
              <w:rPr>
                <w:color w:val="000000"/>
              </w:rPr>
            </w:pPr>
            <w:r>
              <w:rPr>
                <w:color w:val="000000"/>
              </w:rPr>
              <w:t>Pocatello</w:t>
            </w:r>
          </w:p>
        </w:tc>
      </w:tr>
      <w:tr w:rsidR="002770F7" w14:paraId="30081E7C" w14:textId="77777777" w:rsidTr="002770F7">
        <w:trPr>
          <w:trHeight w:val="184"/>
        </w:trPr>
        <w:tc>
          <w:tcPr>
            <w:tcW w:w="3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C7411A" w14:textId="77777777" w:rsidR="002770F7" w:rsidRDefault="002770F7" w:rsidP="002770F7">
            <w:pPr>
              <w:jc w:val="right"/>
              <w:rPr>
                <w:color w:val="000000"/>
              </w:rPr>
            </w:pPr>
            <w:r>
              <w:rPr>
                <w:color w:val="000000"/>
              </w:rPr>
              <w:t>8</w:t>
            </w:r>
          </w:p>
        </w:tc>
        <w:tc>
          <w:tcPr>
            <w:tcW w:w="3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949B3" w14:textId="77777777" w:rsidR="002770F7" w:rsidRDefault="002770F7" w:rsidP="002770F7">
            <w:pPr>
              <w:rPr>
                <w:color w:val="000000"/>
              </w:rPr>
            </w:pPr>
            <w:r>
              <w:rPr>
                <w:color w:val="000000"/>
              </w:rPr>
              <w:t>Simplot Smoky Canyon Exposure</w:t>
            </w:r>
          </w:p>
        </w:tc>
        <w:tc>
          <w:tcPr>
            <w:tcW w:w="3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D4E44" w14:textId="77777777" w:rsidR="002770F7" w:rsidRDefault="002770F7" w:rsidP="002770F7">
            <w:pPr>
              <w:rPr>
                <w:color w:val="000000"/>
              </w:rPr>
            </w:pPr>
          </w:p>
        </w:tc>
        <w:tc>
          <w:tcPr>
            <w:tcW w:w="31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05274" w14:textId="77777777" w:rsidR="002770F7" w:rsidRDefault="002770F7" w:rsidP="002770F7">
            <w:pPr>
              <w:rPr>
                <w:color w:val="000000"/>
              </w:rPr>
            </w:pPr>
            <w:r>
              <w:rPr>
                <w:color w:val="000000"/>
              </w:rPr>
              <w:t>Soda Springs</w:t>
            </w:r>
          </w:p>
        </w:tc>
      </w:tr>
    </w:tbl>
    <w:p w14:paraId="2D7811EB" w14:textId="77777777" w:rsidR="002770F7" w:rsidRPr="000B467B" w:rsidRDefault="000B467B" w:rsidP="006123CF">
      <w:pPr>
        <w:pStyle w:val="BodyText"/>
      </w:pPr>
      <w:r>
        <w:t xml:space="preserve"> </w:t>
      </w:r>
    </w:p>
    <w:p w14:paraId="1694BCF1" w14:textId="784FEE5B" w:rsidR="006123CF" w:rsidRDefault="000B467B" w:rsidP="006123CF">
      <w:pPr>
        <w:pStyle w:val="BodyText"/>
      </w:pPr>
      <w:r w:rsidRPr="000B467B">
        <w:drawing>
          <wp:inline distT="0" distB="0" distL="0" distR="0" wp14:anchorId="70B3EDCC" wp14:editId="4B07E21D">
            <wp:extent cx="2419350" cy="170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425194" cy="1705214"/>
                    </a:xfrm>
                    <a:prstGeom prst="rect">
                      <a:avLst/>
                    </a:prstGeom>
                    <a:noFill/>
                    <a:ln>
                      <a:noFill/>
                    </a:ln>
                  </pic:spPr>
                </pic:pic>
              </a:graphicData>
            </a:graphic>
          </wp:inline>
        </w:drawing>
      </w:r>
      <w:r w:rsidRPr="000B467B">
        <w:drawing>
          <wp:inline distT="0" distB="0" distL="0" distR="0" wp14:anchorId="57C34559" wp14:editId="04055962">
            <wp:extent cx="3355164" cy="16915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104" cy="1752554"/>
                    </a:xfrm>
                    <a:prstGeom prst="rect">
                      <a:avLst/>
                    </a:prstGeom>
                    <a:noFill/>
                    <a:ln>
                      <a:noFill/>
                    </a:ln>
                  </pic:spPr>
                </pic:pic>
              </a:graphicData>
            </a:graphic>
          </wp:inline>
        </w:drawing>
      </w:r>
      <w:r w:rsidR="006123CF">
        <w:br w:type="page"/>
      </w:r>
    </w:p>
    <w:p w14:paraId="1694BCF2" w14:textId="77777777" w:rsidR="006123CF" w:rsidRDefault="006123CF" w:rsidP="006123CF">
      <w:pPr>
        <w:pStyle w:val="Heading2"/>
      </w:pPr>
      <w:r>
        <w:lastRenderedPageBreak/>
        <w:t>Exercise Participants</w:t>
      </w:r>
    </w:p>
    <w:p w14:paraId="1A78DEBB" w14:textId="03726A46" w:rsidR="008C3CEA" w:rsidRPr="008C3CEA" w:rsidRDefault="008C3CEA" w:rsidP="008C3CEA">
      <w:pPr>
        <w:keepNext/>
        <w:keepLines/>
        <w:spacing w:before="240" w:after="120" w:line="240" w:lineRule="auto"/>
        <w:outlineLvl w:val="0"/>
      </w:pPr>
      <w:r w:rsidRPr="008C3CEA">
        <w:rPr>
          <w:rFonts w:ascii="Times New Roman" w:eastAsiaTheme="majorEastAsia" w:hAnsi="Times New Roman" w:cs="Times New Roman"/>
          <w:b/>
          <w:sz w:val="32"/>
          <w:szCs w:val="24"/>
        </w:rPr>
        <w:t>SUBMITTING ORGANIZATION</w:t>
      </w:r>
      <w:r w:rsidRPr="008C3CEA">
        <w:rPr>
          <w:rFonts w:eastAsiaTheme="majorEastAsia" w:cstheme="minorHAnsi"/>
          <w:b/>
          <w:sz w:val="32"/>
          <w:szCs w:val="24"/>
        </w:rPr>
        <w:t>:</w:t>
      </w:r>
      <w:r w:rsidR="00B67A9A" w:rsidRPr="00B67A9A">
        <w:rPr>
          <w:rFonts w:eastAsiaTheme="majorEastAsia" w:cstheme="minorHAnsi"/>
          <w:b/>
          <w:sz w:val="32"/>
          <w:szCs w:val="24"/>
        </w:rPr>
        <w:t xml:space="preserve"> </w:t>
      </w:r>
      <w:bookmarkStart w:id="0" w:name="_GoBack"/>
      <w:bookmarkEnd w:id="0"/>
      <w:r w:rsidR="00B67A9A" w:rsidRPr="00B67A9A">
        <w:rPr>
          <w:rFonts w:eastAsiaTheme="majorEastAsia" w:cstheme="minorHAnsi"/>
          <w:b/>
          <w:sz w:val="32"/>
          <w:szCs w:val="24"/>
        </w:rPr>
        <w:t>___________________________</w:t>
      </w:r>
      <w:r w:rsidRPr="008C3CEA">
        <w:tab/>
      </w:r>
    </w:p>
    <w:p w14:paraId="2A057D02" w14:textId="77777777" w:rsidR="008C3CEA" w:rsidRPr="008C3CEA" w:rsidRDefault="008C3CEA" w:rsidP="008C3CEA">
      <w:pPr>
        <w:spacing w:after="120" w:line="240" w:lineRule="auto"/>
        <w:rPr>
          <w:rFonts w:ascii="Times New Roman" w:hAnsi="Times New Roman"/>
          <w:sz w:val="24"/>
        </w:rPr>
      </w:pPr>
      <w:r w:rsidRPr="008C3CEA">
        <w:rPr>
          <w:rFonts w:ascii="Times New Roman" w:hAnsi="Times New Roman"/>
          <w:sz w:val="24"/>
        </w:rPr>
        <w:t>Roles:</w:t>
      </w:r>
    </w:p>
    <w:p w14:paraId="2F997DBC" w14:textId="21628345" w:rsidR="008C3CEA" w:rsidRPr="008C3CEA" w:rsidRDefault="008C3CEA" w:rsidP="008C3CEA">
      <w:pPr>
        <w:numPr>
          <w:ilvl w:val="0"/>
          <w:numId w:val="14"/>
        </w:numPr>
        <w:spacing w:after="120" w:line="240" w:lineRule="auto"/>
        <w:rPr>
          <w:rFonts w:ascii="Times New Roman" w:hAnsi="Times New Roman"/>
          <w:sz w:val="24"/>
        </w:rPr>
      </w:pPr>
      <w:r w:rsidRPr="008C3CEA">
        <w:rPr>
          <w:rFonts w:ascii="Times New Roman" w:hAnsi="Times New Roman"/>
          <w:sz w:val="24"/>
        </w:rPr>
        <w:t xml:space="preserve">Players – respond realistically to the exercise </w:t>
      </w:r>
      <w:r w:rsidR="00B67A9A" w:rsidRPr="00376FFB">
        <w:rPr>
          <w:rFonts w:ascii="Times New Roman" w:hAnsi="Times New Roman"/>
          <w:sz w:val="24"/>
        </w:rPr>
        <w:t>(EOC Staff/ESF Partners)</w:t>
      </w:r>
    </w:p>
    <w:p w14:paraId="2E795E21" w14:textId="117B3CC1" w:rsidR="008C3CEA" w:rsidRPr="008C3CEA" w:rsidRDefault="00B67A9A" w:rsidP="00B67A9A">
      <w:pPr>
        <w:numPr>
          <w:ilvl w:val="0"/>
          <w:numId w:val="14"/>
        </w:numPr>
        <w:spacing w:after="120" w:line="240" w:lineRule="auto"/>
        <w:rPr>
          <w:rFonts w:ascii="Times New Roman" w:hAnsi="Times New Roman"/>
          <w:sz w:val="24"/>
        </w:rPr>
      </w:pPr>
      <w:proofErr w:type="spellStart"/>
      <w:r w:rsidRPr="00376FFB">
        <w:rPr>
          <w:rFonts w:ascii="Times New Roman" w:hAnsi="Times New Roman"/>
          <w:sz w:val="24"/>
        </w:rPr>
        <w:t>SimCell</w:t>
      </w:r>
      <w:proofErr w:type="spellEnd"/>
      <w:r w:rsidRPr="00376FFB">
        <w:rPr>
          <w:rFonts w:ascii="Times New Roman" w:hAnsi="Times New Roman"/>
          <w:sz w:val="24"/>
        </w:rPr>
        <w:t xml:space="preserve"> Staff - </w:t>
      </w:r>
      <w:r w:rsidRPr="00376FFB">
        <w:rPr>
          <w:rFonts w:ascii="Times New Roman" w:hAnsi="Times New Roman"/>
          <w:sz w:val="24"/>
        </w:rPr>
        <w:t xml:space="preserve">A </w:t>
      </w:r>
      <w:proofErr w:type="spellStart"/>
      <w:r w:rsidRPr="00376FFB">
        <w:rPr>
          <w:rFonts w:ascii="Times New Roman" w:hAnsi="Times New Roman"/>
          <w:sz w:val="24"/>
        </w:rPr>
        <w:t>SimCell</w:t>
      </w:r>
      <w:proofErr w:type="spellEnd"/>
      <w:r w:rsidRPr="00376FFB">
        <w:rPr>
          <w:rFonts w:ascii="Times New Roman" w:hAnsi="Times New Roman"/>
          <w:sz w:val="24"/>
        </w:rPr>
        <w:t xml:space="preserve"> is a location from which controllers deliver telephone calls, radio messages, facsimiles, and other types of messages—these messages represent actions, activities, and conversations of an individual, agency, or organization that is not participating in the exercise but would likely be actively involved during a real incident.</w:t>
      </w:r>
    </w:p>
    <w:p w14:paraId="6E8DA141" w14:textId="56AFA318" w:rsidR="008C3CEA" w:rsidRPr="008C3CEA" w:rsidRDefault="008C3CEA" w:rsidP="008C3CEA">
      <w:pPr>
        <w:numPr>
          <w:ilvl w:val="0"/>
          <w:numId w:val="14"/>
        </w:numPr>
        <w:spacing w:after="120" w:line="240" w:lineRule="auto"/>
        <w:rPr>
          <w:rFonts w:ascii="Times New Roman" w:hAnsi="Times New Roman"/>
          <w:sz w:val="24"/>
        </w:rPr>
      </w:pPr>
      <w:r w:rsidRPr="008C3CEA">
        <w:rPr>
          <w:rFonts w:ascii="Times New Roman" w:hAnsi="Times New Roman"/>
          <w:sz w:val="24"/>
        </w:rPr>
        <w:t>Evaluators – collect information for evaluation</w:t>
      </w:r>
    </w:p>
    <w:p w14:paraId="4A7031F9" w14:textId="62BA1DD4" w:rsidR="008C3CEA" w:rsidRPr="00376FFB" w:rsidRDefault="008C3CEA" w:rsidP="008C3CEA">
      <w:pPr>
        <w:numPr>
          <w:ilvl w:val="0"/>
          <w:numId w:val="14"/>
        </w:numPr>
        <w:spacing w:after="120" w:line="240" w:lineRule="auto"/>
        <w:rPr>
          <w:rFonts w:ascii="Times New Roman" w:hAnsi="Times New Roman"/>
          <w:sz w:val="24"/>
        </w:rPr>
      </w:pPr>
      <w:r w:rsidRPr="008C3CEA">
        <w:rPr>
          <w:rFonts w:ascii="Times New Roman" w:hAnsi="Times New Roman"/>
          <w:sz w:val="24"/>
        </w:rPr>
        <w:t>Observers – watch exercise play, but do not participate</w:t>
      </w:r>
    </w:p>
    <w:p w14:paraId="19174C46" w14:textId="12D00E46" w:rsidR="00B67A9A" w:rsidRPr="008C3CEA" w:rsidRDefault="00B67A9A" w:rsidP="008C3CEA">
      <w:pPr>
        <w:numPr>
          <w:ilvl w:val="0"/>
          <w:numId w:val="14"/>
        </w:numPr>
        <w:spacing w:after="120" w:line="240" w:lineRule="auto"/>
        <w:rPr>
          <w:rFonts w:ascii="Times New Roman" w:hAnsi="Times New Roman"/>
          <w:sz w:val="24"/>
        </w:rPr>
      </w:pPr>
      <w:r w:rsidRPr="00376FFB">
        <w:rPr>
          <w:rFonts w:ascii="Times New Roman" w:hAnsi="Times New Roman"/>
          <w:sz w:val="24"/>
        </w:rPr>
        <w:t xml:space="preserve">Planning Team – trusted agent that participates in planning the exercise, cannot be a player. </w:t>
      </w:r>
    </w:p>
    <w:p w14:paraId="45DC18BE" w14:textId="77777777" w:rsidR="008C3CEA" w:rsidRPr="008C3CEA" w:rsidRDefault="008C3CEA" w:rsidP="008C3CEA">
      <w:pPr>
        <w:spacing w:after="120" w:line="240" w:lineRule="auto"/>
        <w:rPr>
          <w:rFonts w:ascii="Times New Roman" w:hAnsi="Times New Roman"/>
          <w:sz w:val="24"/>
        </w:rPr>
      </w:pPr>
      <w:r w:rsidRPr="008C3CEA">
        <w:rPr>
          <w:rFonts w:ascii="Times New Roman" w:hAnsi="Times New Roman"/>
          <w:sz w:val="24"/>
        </w:rPr>
        <w:t>Extent of Play: The level of participation your organization intends to have in the exercise. Describe, as closely as possible, what play in the exercise will look like from your organization’s point-of-view.</w:t>
      </w:r>
    </w:p>
    <w:p w14:paraId="27AE1BA6" w14:textId="222BDA2C" w:rsidR="008C3CEA" w:rsidRPr="008C3CEA" w:rsidRDefault="008C3CEA" w:rsidP="008C3CEA">
      <w:pPr>
        <w:spacing w:after="120" w:line="240" w:lineRule="auto"/>
      </w:pPr>
    </w:p>
    <w:tbl>
      <w:tblPr>
        <w:tblStyle w:val="TableGrid"/>
        <w:tblpPr w:leftFromText="180" w:rightFromText="180" w:vertAnchor="text" w:horzAnchor="margin" w:tblpY="292"/>
        <w:tblW w:w="9890" w:type="dxa"/>
        <w:tblLook w:val="04A0" w:firstRow="1" w:lastRow="0" w:firstColumn="1" w:lastColumn="0" w:noHBand="0" w:noVBand="1"/>
        <w:tblCaption w:val="Exercise Participants"/>
        <w:tblDescription w:val="Lists exercise participants with identifying information such as role, level of play, and position."/>
      </w:tblPr>
      <w:tblGrid>
        <w:gridCol w:w="5027"/>
        <w:gridCol w:w="4863"/>
      </w:tblGrid>
      <w:tr w:rsidR="00B67A9A" w14:paraId="2D54C769" w14:textId="77777777" w:rsidTr="00B67A9A">
        <w:trPr>
          <w:cantSplit/>
          <w:trHeight w:val="615"/>
          <w:tblHeader/>
        </w:trPr>
        <w:tc>
          <w:tcPr>
            <w:tcW w:w="5027" w:type="dxa"/>
            <w:shd w:val="clear" w:color="auto" w:fill="003366"/>
            <w:vAlign w:val="center"/>
          </w:tcPr>
          <w:p w14:paraId="05D369B1" w14:textId="77777777" w:rsidR="00B67A9A" w:rsidRPr="006123CF" w:rsidRDefault="00B67A9A" w:rsidP="00B67A9A">
            <w:pPr>
              <w:pStyle w:val="TableHead"/>
            </w:pPr>
            <w:r w:rsidRPr="006123CF">
              <w:t>Participant</w:t>
            </w:r>
          </w:p>
        </w:tc>
        <w:tc>
          <w:tcPr>
            <w:tcW w:w="4863" w:type="dxa"/>
            <w:shd w:val="clear" w:color="auto" w:fill="003366"/>
            <w:vAlign w:val="center"/>
          </w:tcPr>
          <w:p w14:paraId="1A8A4ED2" w14:textId="77777777" w:rsidR="00B67A9A" w:rsidRPr="006123CF" w:rsidRDefault="00B67A9A" w:rsidP="00B67A9A">
            <w:pPr>
              <w:pStyle w:val="TableHead"/>
            </w:pPr>
            <w:r w:rsidRPr="006123CF">
              <w:t>Exercise Role</w:t>
            </w:r>
          </w:p>
        </w:tc>
      </w:tr>
      <w:tr w:rsidR="00B67A9A" w14:paraId="197718C8" w14:textId="77777777" w:rsidTr="00B67A9A">
        <w:trPr>
          <w:cantSplit/>
          <w:trHeight w:val="913"/>
          <w:tblHeader/>
        </w:trPr>
        <w:tc>
          <w:tcPr>
            <w:tcW w:w="5027" w:type="dxa"/>
            <w:shd w:val="clear" w:color="auto" w:fill="999999"/>
            <w:vAlign w:val="center"/>
          </w:tcPr>
          <w:p w14:paraId="2872D24D" w14:textId="77777777" w:rsidR="00B67A9A" w:rsidRPr="006123CF" w:rsidRDefault="00B67A9A" w:rsidP="00B67A9A">
            <w:pPr>
              <w:pStyle w:val="TableSub-heading"/>
            </w:pPr>
            <w:r w:rsidRPr="006123CF">
              <w:t>(Name, Position, &amp; Organization Name)</w:t>
            </w:r>
          </w:p>
        </w:tc>
        <w:tc>
          <w:tcPr>
            <w:tcW w:w="4863" w:type="dxa"/>
            <w:shd w:val="clear" w:color="auto" w:fill="999999"/>
            <w:vAlign w:val="center"/>
          </w:tcPr>
          <w:p w14:paraId="57FA8E91" w14:textId="324E69C9" w:rsidR="00B67A9A" w:rsidRPr="006123CF" w:rsidRDefault="00B67A9A" w:rsidP="00B67A9A">
            <w:pPr>
              <w:pStyle w:val="TableSub-heading"/>
            </w:pPr>
            <w:r>
              <w:t xml:space="preserve">(Planning, Player, </w:t>
            </w:r>
            <w:proofErr w:type="spellStart"/>
            <w:r>
              <w:t>SimCell</w:t>
            </w:r>
            <w:proofErr w:type="spellEnd"/>
            <w:r>
              <w:t>, Evaluator, Observer</w:t>
            </w:r>
            <w:r w:rsidRPr="006123CF">
              <w:t>)</w:t>
            </w:r>
          </w:p>
        </w:tc>
      </w:tr>
      <w:tr w:rsidR="00B67A9A" w14:paraId="00CA0127" w14:textId="77777777" w:rsidTr="00B67A9A">
        <w:trPr>
          <w:cantSplit/>
          <w:trHeight w:val="615"/>
          <w:tblHeader/>
        </w:trPr>
        <w:tc>
          <w:tcPr>
            <w:tcW w:w="5027" w:type="dxa"/>
            <w:vAlign w:val="center"/>
          </w:tcPr>
          <w:p w14:paraId="08FE7C1D" w14:textId="542CB4A2" w:rsidR="00B67A9A" w:rsidRDefault="00B67A9A" w:rsidP="00B67A9A">
            <w:pPr>
              <w:pStyle w:val="TableText"/>
            </w:pPr>
          </w:p>
        </w:tc>
        <w:tc>
          <w:tcPr>
            <w:tcW w:w="4863" w:type="dxa"/>
            <w:vAlign w:val="center"/>
          </w:tcPr>
          <w:p w14:paraId="25EC14A4" w14:textId="56B40B92" w:rsidR="00B67A9A" w:rsidRDefault="00B67A9A" w:rsidP="00B67A9A">
            <w:pPr>
              <w:pStyle w:val="TableText"/>
            </w:pPr>
          </w:p>
        </w:tc>
      </w:tr>
      <w:tr w:rsidR="00B67A9A" w14:paraId="7004D5CC" w14:textId="77777777" w:rsidTr="00B67A9A">
        <w:trPr>
          <w:cantSplit/>
          <w:trHeight w:val="615"/>
          <w:tblHeader/>
        </w:trPr>
        <w:tc>
          <w:tcPr>
            <w:tcW w:w="5027" w:type="dxa"/>
            <w:vAlign w:val="center"/>
          </w:tcPr>
          <w:p w14:paraId="609AF288" w14:textId="5ECBA730" w:rsidR="00B67A9A" w:rsidRDefault="00B67A9A" w:rsidP="00B67A9A">
            <w:pPr>
              <w:pStyle w:val="TableText"/>
            </w:pPr>
          </w:p>
        </w:tc>
        <w:tc>
          <w:tcPr>
            <w:tcW w:w="4863" w:type="dxa"/>
            <w:vAlign w:val="center"/>
          </w:tcPr>
          <w:p w14:paraId="3357428B" w14:textId="521A8776" w:rsidR="00B67A9A" w:rsidRDefault="00B67A9A" w:rsidP="00B67A9A">
            <w:pPr>
              <w:pStyle w:val="TableText"/>
            </w:pPr>
          </w:p>
        </w:tc>
      </w:tr>
      <w:tr w:rsidR="00B67A9A" w14:paraId="0D46CCFE" w14:textId="77777777" w:rsidTr="00B67A9A">
        <w:trPr>
          <w:cantSplit/>
          <w:trHeight w:val="615"/>
          <w:tblHeader/>
        </w:trPr>
        <w:tc>
          <w:tcPr>
            <w:tcW w:w="5027" w:type="dxa"/>
            <w:vAlign w:val="center"/>
          </w:tcPr>
          <w:p w14:paraId="43EF6339" w14:textId="77777777" w:rsidR="00B67A9A" w:rsidRDefault="00B67A9A" w:rsidP="00B67A9A">
            <w:pPr>
              <w:pStyle w:val="TableText"/>
            </w:pPr>
          </w:p>
        </w:tc>
        <w:tc>
          <w:tcPr>
            <w:tcW w:w="4863" w:type="dxa"/>
            <w:vAlign w:val="center"/>
          </w:tcPr>
          <w:p w14:paraId="51BE516E" w14:textId="77777777" w:rsidR="00B67A9A" w:rsidRDefault="00B67A9A" w:rsidP="00B67A9A">
            <w:pPr>
              <w:pStyle w:val="TableText"/>
            </w:pPr>
          </w:p>
        </w:tc>
      </w:tr>
    </w:tbl>
    <w:tbl>
      <w:tblPr>
        <w:tblStyle w:val="TableGrid"/>
        <w:tblW w:w="9895" w:type="dxa"/>
        <w:tblLook w:val="04A0" w:firstRow="1" w:lastRow="0" w:firstColumn="1" w:lastColumn="0" w:noHBand="0" w:noVBand="1"/>
      </w:tblPr>
      <w:tblGrid>
        <w:gridCol w:w="1615"/>
        <w:gridCol w:w="8280"/>
      </w:tblGrid>
      <w:tr w:rsidR="00B67A9A" w:rsidRPr="008C3CEA" w14:paraId="177E5E55" w14:textId="77777777" w:rsidTr="00B67A9A">
        <w:trPr>
          <w:trHeight w:val="1771"/>
        </w:trPr>
        <w:tc>
          <w:tcPr>
            <w:tcW w:w="1615" w:type="dxa"/>
            <w:shd w:val="clear" w:color="auto" w:fill="323E4F" w:themeFill="text2" w:themeFillShade="BF"/>
          </w:tcPr>
          <w:p w14:paraId="3B13E5D7" w14:textId="77777777" w:rsidR="00B67A9A" w:rsidRPr="008C3CEA" w:rsidRDefault="00B67A9A" w:rsidP="00B67A9A">
            <w:pPr>
              <w:pStyle w:val="TableHead"/>
            </w:pPr>
            <w:r w:rsidRPr="008C3CEA">
              <w:t>Extent of Play:</w:t>
            </w:r>
          </w:p>
        </w:tc>
        <w:tc>
          <w:tcPr>
            <w:tcW w:w="8280" w:type="dxa"/>
          </w:tcPr>
          <w:p w14:paraId="05653A68" w14:textId="77777777" w:rsidR="00B67A9A" w:rsidRPr="008C3CEA" w:rsidRDefault="00B67A9A" w:rsidP="00B67A9A">
            <w:pPr>
              <w:pStyle w:val="TableHead"/>
            </w:pPr>
          </w:p>
        </w:tc>
      </w:tr>
    </w:tbl>
    <w:p w14:paraId="1694BD29" w14:textId="77777777" w:rsidR="006123CF" w:rsidRPr="006123CF" w:rsidRDefault="006123CF" w:rsidP="00397779">
      <w:pPr>
        <w:pStyle w:val="BodyText"/>
      </w:pPr>
    </w:p>
    <w:sectPr w:rsidR="006123CF" w:rsidRPr="006123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907F" w14:textId="77777777" w:rsidR="008B7CDE" w:rsidRDefault="008B7CDE" w:rsidP="00451DAA">
      <w:pPr>
        <w:spacing w:after="0" w:line="240" w:lineRule="auto"/>
      </w:pPr>
      <w:r>
        <w:separator/>
      </w:r>
    </w:p>
  </w:endnote>
  <w:endnote w:type="continuationSeparator" w:id="0">
    <w:p w14:paraId="1A20F446" w14:textId="77777777" w:rsidR="008B7CDE" w:rsidRDefault="008B7CDE" w:rsidP="0045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BD30" w14:textId="05FA23B4" w:rsidR="00451DAA" w:rsidRDefault="001B4445" w:rsidP="00397779">
    <w:pPr>
      <w:pStyle w:val="Footer"/>
      <w:pBdr>
        <w:top w:val="single" w:sz="4" w:space="1" w:color="003366"/>
      </w:pBdr>
      <w:spacing w:before="60"/>
      <w:jc w:val="right"/>
    </w:pPr>
    <w:r w:rsidRPr="001B4445">
      <w:t>Rev. 2017 508</w:t>
    </w:r>
    <w:r w:rsidR="001A07DF">
      <w:tab/>
    </w:r>
    <w:sdt>
      <w:sdtPr>
        <w:id w:val="-1643179099"/>
        <w:docPartObj>
          <w:docPartGallery w:val="Page Numbers (Bottom of Page)"/>
          <w:docPartUnique/>
        </w:docPartObj>
      </w:sdtPr>
      <w:sdtEndPr>
        <w:rPr>
          <w:noProof/>
        </w:rPr>
      </w:sdtEndPr>
      <w:sdtContent>
        <w:r w:rsidR="00451DAA" w:rsidRPr="00F218C9">
          <w:rPr>
            <w:b/>
          </w:rPr>
          <w:fldChar w:fldCharType="begin"/>
        </w:r>
        <w:r w:rsidR="00451DAA" w:rsidRPr="00F218C9">
          <w:rPr>
            <w:b/>
          </w:rPr>
          <w:instrText xml:space="preserve"> PAGE   \* MERGEFORMAT </w:instrText>
        </w:r>
        <w:r w:rsidR="00451DAA" w:rsidRPr="00F218C9">
          <w:rPr>
            <w:b/>
          </w:rPr>
          <w:fldChar w:fldCharType="separate"/>
        </w:r>
        <w:r w:rsidR="00376FFB">
          <w:rPr>
            <w:b/>
            <w:noProof/>
          </w:rPr>
          <w:t>3</w:t>
        </w:r>
        <w:r w:rsidR="00451DAA" w:rsidRPr="00F218C9">
          <w:rPr>
            <w:b/>
            <w:noProof/>
          </w:rPr>
          <w:fldChar w:fldCharType="end"/>
        </w:r>
        <w:r w:rsidR="001A07DF">
          <w:rPr>
            <w:noProof/>
          </w:rPr>
          <w:tab/>
        </w:r>
        <w:r w:rsidR="001A07DF" w:rsidRPr="00F218C9">
          <w:rPr>
            <w:b/>
            <w:noProof/>
          </w:rPr>
          <w:t>[</w:t>
        </w:r>
        <w:r w:rsidR="001A07DF" w:rsidRPr="00F218C9">
          <w:rPr>
            <w:b/>
            <w:noProof/>
            <w:highlight w:val="lightGray"/>
          </w:rPr>
          <w:t>Sponsor Organization</w:t>
        </w:r>
        <w:r w:rsidR="001A07DF" w:rsidRPr="00F218C9">
          <w:rPr>
            <w:b/>
            <w:noProof/>
          </w:rPr>
          <w:t>]</w:t>
        </w:r>
      </w:sdtContent>
    </w:sdt>
  </w:p>
  <w:p w14:paraId="1694BD31" w14:textId="77777777" w:rsidR="00451DAA" w:rsidRDefault="001A07DF" w:rsidP="00397779">
    <w:pPr>
      <w:pStyle w:val="Footer"/>
      <w:pBdr>
        <w:top w:val="single" w:sz="4" w:space="1" w:color="003366"/>
      </w:pBdr>
      <w:spacing w:before="60"/>
    </w:pPr>
    <w:r>
      <w:t>HSEEP-DD12</w:t>
    </w:r>
    <w:r w:rsidR="00F218C9">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4C25" w14:textId="77777777" w:rsidR="008B7CDE" w:rsidRDefault="008B7CDE" w:rsidP="00451DAA">
      <w:pPr>
        <w:spacing w:after="0" w:line="240" w:lineRule="auto"/>
      </w:pPr>
      <w:r>
        <w:separator/>
      </w:r>
    </w:p>
  </w:footnote>
  <w:footnote w:type="continuationSeparator" w:id="0">
    <w:p w14:paraId="5AB26CD1" w14:textId="77777777" w:rsidR="008B7CDE" w:rsidRDefault="008B7CDE" w:rsidP="0045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BD2F" w14:textId="2E8AD46C" w:rsidR="00451DAA" w:rsidRDefault="00451DAA" w:rsidP="00397779">
    <w:pPr>
      <w:pStyle w:val="Header"/>
      <w:pBdr>
        <w:bottom w:val="single" w:sz="4" w:space="1" w:color="003366"/>
      </w:pBdr>
      <w:tabs>
        <w:tab w:val="clear" w:pos="4680"/>
      </w:tabs>
      <w:jc w:val="right"/>
    </w:pPr>
    <w:r>
      <w:t>Extent of Play Agreement</w:t>
    </w:r>
    <w:r w:rsidR="00397779">
      <w:t xml:space="preserve"> (XPA)</w:t>
    </w:r>
    <w:r>
      <w:tab/>
    </w:r>
    <w:r w:rsidR="007F2D9E">
      <w:t>Shared Response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F0DF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6CFB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229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041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B40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22C6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62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543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A2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92F68E"/>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CA74F9"/>
    <w:multiLevelType w:val="hybridMultilevel"/>
    <w:tmpl w:val="7CF6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4548D"/>
    <w:multiLevelType w:val="hybridMultilevel"/>
    <w:tmpl w:val="BA689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B369C"/>
    <w:multiLevelType w:val="hybridMultilevel"/>
    <w:tmpl w:val="6576E262"/>
    <w:lvl w:ilvl="0" w:tplc="7848E9F8">
      <w:start w:val="1"/>
      <w:numFmt w:val="bullet"/>
      <w:lvlText w:val="•"/>
      <w:lvlJc w:val="left"/>
      <w:pPr>
        <w:tabs>
          <w:tab w:val="num" w:pos="720"/>
        </w:tabs>
        <w:ind w:left="720" w:hanging="360"/>
      </w:pPr>
      <w:rPr>
        <w:rFonts w:ascii="Arial" w:hAnsi="Arial" w:hint="default"/>
      </w:rPr>
    </w:lvl>
    <w:lvl w:ilvl="1" w:tplc="52EECB7A" w:tentative="1">
      <w:start w:val="1"/>
      <w:numFmt w:val="bullet"/>
      <w:lvlText w:val="•"/>
      <w:lvlJc w:val="left"/>
      <w:pPr>
        <w:tabs>
          <w:tab w:val="num" w:pos="1440"/>
        </w:tabs>
        <w:ind w:left="1440" w:hanging="360"/>
      </w:pPr>
      <w:rPr>
        <w:rFonts w:ascii="Arial" w:hAnsi="Arial" w:hint="default"/>
      </w:rPr>
    </w:lvl>
    <w:lvl w:ilvl="2" w:tplc="B7B4E38C" w:tentative="1">
      <w:start w:val="1"/>
      <w:numFmt w:val="bullet"/>
      <w:lvlText w:val="•"/>
      <w:lvlJc w:val="left"/>
      <w:pPr>
        <w:tabs>
          <w:tab w:val="num" w:pos="2160"/>
        </w:tabs>
        <w:ind w:left="2160" w:hanging="360"/>
      </w:pPr>
      <w:rPr>
        <w:rFonts w:ascii="Arial" w:hAnsi="Arial" w:hint="default"/>
      </w:rPr>
    </w:lvl>
    <w:lvl w:ilvl="3" w:tplc="0226E632" w:tentative="1">
      <w:start w:val="1"/>
      <w:numFmt w:val="bullet"/>
      <w:lvlText w:val="•"/>
      <w:lvlJc w:val="left"/>
      <w:pPr>
        <w:tabs>
          <w:tab w:val="num" w:pos="2880"/>
        </w:tabs>
        <w:ind w:left="2880" w:hanging="360"/>
      </w:pPr>
      <w:rPr>
        <w:rFonts w:ascii="Arial" w:hAnsi="Arial" w:hint="default"/>
      </w:rPr>
    </w:lvl>
    <w:lvl w:ilvl="4" w:tplc="93B624DC" w:tentative="1">
      <w:start w:val="1"/>
      <w:numFmt w:val="bullet"/>
      <w:lvlText w:val="•"/>
      <w:lvlJc w:val="left"/>
      <w:pPr>
        <w:tabs>
          <w:tab w:val="num" w:pos="3600"/>
        </w:tabs>
        <w:ind w:left="3600" w:hanging="360"/>
      </w:pPr>
      <w:rPr>
        <w:rFonts w:ascii="Arial" w:hAnsi="Arial" w:hint="default"/>
      </w:rPr>
    </w:lvl>
    <w:lvl w:ilvl="5" w:tplc="596E426A" w:tentative="1">
      <w:start w:val="1"/>
      <w:numFmt w:val="bullet"/>
      <w:lvlText w:val="•"/>
      <w:lvlJc w:val="left"/>
      <w:pPr>
        <w:tabs>
          <w:tab w:val="num" w:pos="4320"/>
        </w:tabs>
        <w:ind w:left="4320" w:hanging="360"/>
      </w:pPr>
      <w:rPr>
        <w:rFonts w:ascii="Arial" w:hAnsi="Arial" w:hint="default"/>
      </w:rPr>
    </w:lvl>
    <w:lvl w:ilvl="6" w:tplc="2B363386" w:tentative="1">
      <w:start w:val="1"/>
      <w:numFmt w:val="bullet"/>
      <w:lvlText w:val="•"/>
      <w:lvlJc w:val="left"/>
      <w:pPr>
        <w:tabs>
          <w:tab w:val="num" w:pos="5040"/>
        </w:tabs>
        <w:ind w:left="5040" w:hanging="360"/>
      </w:pPr>
      <w:rPr>
        <w:rFonts w:ascii="Arial" w:hAnsi="Arial" w:hint="default"/>
      </w:rPr>
    </w:lvl>
    <w:lvl w:ilvl="7" w:tplc="0A3ABAD8" w:tentative="1">
      <w:start w:val="1"/>
      <w:numFmt w:val="bullet"/>
      <w:lvlText w:val="•"/>
      <w:lvlJc w:val="left"/>
      <w:pPr>
        <w:tabs>
          <w:tab w:val="num" w:pos="5760"/>
        </w:tabs>
        <w:ind w:left="5760" w:hanging="360"/>
      </w:pPr>
      <w:rPr>
        <w:rFonts w:ascii="Arial" w:hAnsi="Arial" w:hint="default"/>
      </w:rPr>
    </w:lvl>
    <w:lvl w:ilvl="8" w:tplc="64440E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8729E"/>
    <w:multiLevelType w:val="hybridMultilevel"/>
    <w:tmpl w:val="C368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CA"/>
    <w:rsid w:val="0001085C"/>
    <w:rsid w:val="00047344"/>
    <w:rsid w:val="00094222"/>
    <w:rsid w:val="000B467B"/>
    <w:rsid w:val="001A07DF"/>
    <w:rsid w:val="001B4445"/>
    <w:rsid w:val="00264187"/>
    <w:rsid w:val="002770F7"/>
    <w:rsid w:val="0033198E"/>
    <w:rsid w:val="00332810"/>
    <w:rsid w:val="00376FFB"/>
    <w:rsid w:val="00397779"/>
    <w:rsid w:val="00451DAA"/>
    <w:rsid w:val="00557C42"/>
    <w:rsid w:val="006123CF"/>
    <w:rsid w:val="006250B9"/>
    <w:rsid w:val="006A3DC1"/>
    <w:rsid w:val="007F2D9E"/>
    <w:rsid w:val="008B7CDE"/>
    <w:rsid w:val="008C3CEA"/>
    <w:rsid w:val="008F507A"/>
    <w:rsid w:val="00A23670"/>
    <w:rsid w:val="00A23F78"/>
    <w:rsid w:val="00AE3057"/>
    <w:rsid w:val="00B46C2E"/>
    <w:rsid w:val="00B67A9A"/>
    <w:rsid w:val="00BA4D6F"/>
    <w:rsid w:val="00BD13A3"/>
    <w:rsid w:val="00C31EE2"/>
    <w:rsid w:val="00E3733C"/>
    <w:rsid w:val="00E75ACA"/>
    <w:rsid w:val="00EE2181"/>
    <w:rsid w:val="00F2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BCD0"/>
  <w15:chartTrackingRefBased/>
  <w15:docId w15:val="{7C161A03-1F98-4F7D-9ACD-4B62F5B4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E2"/>
  </w:style>
  <w:style w:type="paragraph" w:styleId="Heading1">
    <w:name w:val="heading 1"/>
    <w:basedOn w:val="Normal"/>
    <w:next w:val="Normal"/>
    <w:link w:val="Heading1Char"/>
    <w:uiPriority w:val="9"/>
    <w:qFormat/>
    <w:rsid w:val="00C31EE2"/>
    <w:pPr>
      <w:keepNext/>
      <w:keepLines/>
      <w:spacing w:before="240" w:after="0"/>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C31EE2"/>
    <w:pPr>
      <w:keepNext/>
      <w:keepLines/>
      <w:spacing w:before="120" w:after="120" w:line="240" w:lineRule="auto"/>
      <w:outlineLvl w:val="1"/>
    </w:pPr>
    <w:rPr>
      <w:rFonts w:ascii="Arial" w:eastAsiaTheme="majorEastAsia" w:hAnsi="Arial" w:cstheme="majorBidi"/>
      <w:b/>
      <w:color w:val="003366"/>
      <w:sz w:val="28"/>
      <w:szCs w:val="26"/>
    </w:rPr>
  </w:style>
  <w:style w:type="paragraph" w:styleId="Heading3">
    <w:name w:val="heading 3"/>
    <w:basedOn w:val="Normal"/>
    <w:next w:val="BodyText"/>
    <w:link w:val="Heading3Char"/>
    <w:uiPriority w:val="9"/>
    <w:unhideWhenUsed/>
    <w:qFormat/>
    <w:rsid w:val="00C31EE2"/>
    <w:pPr>
      <w:spacing w:before="120" w:after="120" w:line="240" w:lineRule="auto"/>
      <w:outlineLvl w:val="2"/>
    </w:pPr>
    <w:rPr>
      <w:rFonts w:ascii="Arial" w:hAnsi="Arial"/>
      <w:b/>
      <w:color w:val="00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EE2"/>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C31EE2"/>
    <w:rPr>
      <w:rFonts w:ascii="Arial" w:eastAsiaTheme="majorEastAsia" w:hAnsi="Arial" w:cstheme="majorBidi"/>
      <w:b/>
      <w:color w:val="003366"/>
      <w:sz w:val="28"/>
      <w:szCs w:val="26"/>
    </w:rPr>
  </w:style>
  <w:style w:type="paragraph" w:styleId="BodyText">
    <w:name w:val="Body Text"/>
    <w:basedOn w:val="Normal"/>
    <w:link w:val="BodyTextChar"/>
    <w:uiPriority w:val="99"/>
    <w:unhideWhenUsed/>
    <w:qFormat/>
    <w:rsid w:val="0033198E"/>
    <w:pPr>
      <w:spacing w:before="120" w:after="120" w:line="240" w:lineRule="auto"/>
    </w:pPr>
    <w:rPr>
      <w:rFonts w:ascii="Times New Roman" w:hAnsi="Times New Roman"/>
      <w:sz w:val="24"/>
    </w:rPr>
  </w:style>
  <w:style w:type="character" w:customStyle="1" w:styleId="BodyTextChar">
    <w:name w:val="Body Text Char"/>
    <w:basedOn w:val="DefaultParagraphFont"/>
    <w:link w:val="BodyText"/>
    <w:uiPriority w:val="99"/>
    <w:rsid w:val="0033198E"/>
    <w:rPr>
      <w:rFonts w:ascii="Times New Roman" w:hAnsi="Times New Roman"/>
      <w:sz w:val="24"/>
    </w:rPr>
  </w:style>
  <w:style w:type="paragraph" w:styleId="BodyText2">
    <w:name w:val="Body Text 2"/>
    <w:aliases w:val="Body Text Bold"/>
    <w:basedOn w:val="Normal"/>
    <w:next w:val="BodyText"/>
    <w:link w:val="BodyText2Char"/>
    <w:uiPriority w:val="99"/>
    <w:semiHidden/>
    <w:unhideWhenUsed/>
    <w:qFormat/>
    <w:rsid w:val="0033198E"/>
    <w:pPr>
      <w:spacing w:after="0" w:line="240" w:lineRule="auto"/>
    </w:pPr>
    <w:rPr>
      <w:rFonts w:ascii="Times New Roman" w:hAnsi="Times New Roman"/>
      <w:b/>
      <w:sz w:val="24"/>
    </w:rPr>
  </w:style>
  <w:style w:type="character" w:customStyle="1" w:styleId="BodyText2Char">
    <w:name w:val="Body Text 2 Char"/>
    <w:aliases w:val="Body Text Bold Char"/>
    <w:basedOn w:val="DefaultParagraphFont"/>
    <w:link w:val="BodyText2"/>
    <w:uiPriority w:val="99"/>
    <w:semiHidden/>
    <w:rsid w:val="0033198E"/>
    <w:rPr>
      <w:rFonts w:ascii="Times New Roman" w:hAnsi="Times New Roman"/>
      <w:b/>
      <w:sz w:val="24"/>
    </w:rPr>
  </w:style>
  <w:style w:type="paragraph" w:styleId="TableofFigures">
    <w:name w:val="table of figures"/>
    <w:aliases w:val="Table"/>
    <w:basedOn w:val="Normal"/>
    <w:next w:val="Normal"/>
    <w:uiPriority w:val="99"/>
    <w:unhideWhenUsed/>
    <w:qFormat/>
    <w:rsid w:val="006123CF"/>
    <w:pPr>
      <w:spacing w:before="120" w:after="120" w:line="240" w:lineRule="auto"/>
    </w:pPr>
    <w:rPr>
      <w:rFonts w:ascii="Arial" w:hAnsi="Arial"/>
      <w:sz w:val="20"/>
    </w:rPr>
  </w:style>
  <w:style w:type="paragraph" w:styleId="ListBullet">
    <w:name w:val="List Bullet"/>
    <w:basedOn w:val="Normal"/>
    <w:uiPriority w:val="99"/>
    <w:unhideWhenUsed/>
    <w:qFormat/>
    <w:rsid w:val="00B46C2E"/>
    <w:pPr>
      <w:numPr>
        <w:numId w:val="1"/>
      </w:numPr>
      <w:spacing w:before="160" w:line="240" w:lineRule="auto"/>
    </w:pPr>
    <w:rPr>
      <w:rFonts w:ascii="Times New Roman" w:hAnsi="Times New Roman"/>
      <w:sz w:val="24"/>
    </w:rPr>
  </w:style>
  <w:style w:type="character" w:customStyle="1" w:styleId="Heading3Char">
    <w:name w:val="Heading 3 Char"/>
    <w:basedOn w:val="DefaultParagraphFont"/>
    <w:link w:val="Heading3"/>
    <w:uiPriority w:val="9"/>
    <w:rsid w:val="00C31EE2"/>
    <w:rPr>
      <w:rFonts w:ascii="Arial" w:hAnsi="Arial"/>
      <w:b/>
      <w:color w:val="003366"/>
      <w:sz w:val="24"/>
    </w:rPr>
  </w:style>
  <w:style w:type="paragraph" w:styleId="Footer">
    <w:name w:val="footer"/>
    <w:basedOn w:val="Normal"/>
    <w:link w:val="FooterChar"/>
    <w:uiPriority w:val="99"/>
    <w:unhideWhenUsed/>
    <w:qFormat/>
    <w:rsid w:val="00C31EE2"/>
    <w:pPr>
      <w:tabs>
        <w:tab w:val="center" w:pos="4680"/>
        <w:tab w:val="right" w:pos="9360"/>
      </w:tabs>
      <w:spacing w:after="0" w:line="240" w:lineRule="auto"/>
    </w:pPr>
    <w:rPr>
      <w:rFonts w:ascii="Arial" w:hAnsi="Arial"/>
      <w:color w:val="003366"/>
      <w:sz w:val="20"/>
    </w:rPr>
  </w:style>
  <w:style w:type="character" w:customStyle="1" w:styleId="FooterChar">
    <w:name w:val="Footer Char"/>
    <w:basedOn w:val="DefaultParagraphFont"/>
    <w:link w:val="Footer"/>
    <w:uiPriority w:val="99"/>
    <w:rsid w:val="00C31EE2"/>
    <w:rPr>
      <w:rFonts w:ascii="Arial" w:hAnsi="Arial"/>
      <w:color w:val="003366"/>
      <w:sz w:val="20"/>
    </w:rPr>
  </w:style>
  <w:style w:type="paragraph" w:styleId="Header">
    <w:name w:val="header"/>
    <w:basedOn w:val="Normal"/>
    <w:link w:val="HeaderChar"/>
    <w:uiPriority w:val="99"/>
    <w:unhideWhenUsed/>
    <w:qFormat/>
    <w:rsid w:val="00C31EE2"/>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C31EE2"/>
    <w:rPr>
      <w:rFonts w:ascii="Arial" w:hAnsi="Arial"/>
      <w:b/>
      <w:color w:val="003366"/>
      <w:sz w:val="20"/>
    </w:rPr>
  </w:style>
  <w:style w:type="paragraph" w:styleId="Subtitle">
    <w:name w:val="Subtitle"/>
    <w:basedOn w:val="Normal"/>
    <w:next w:val="Normal"/>
    <w:link w:val="SubtitleChar"/>
    <w:uiPriority w:val="11"/>
    <w:qFormat/>
    <w:rsid w:val="00C31EE2"/>
    <w:pPr>
      <w:numPr>
        <w:ilvl w:val="1"/>
      </w:numPr>
      <w:spacing w:before="120" w:line="240" w:lineRule="auto"/>
      <w:jc w:val="center"/>
    </w:pPr>
    <w:rPr>
      <w:rFonts w:ascii="Arial" w:eastAsiaTheme="minorEastAsia" w:hAnsi="Arial"/>
      <w:b/>
      <w:color w:val="003366"/>
      <w:spacing w:val="15"/>
      <w:sz w:val="26"/>
    </w:rPr>
  </w:style>
  <w:style w:type="character" w:customStyle="1" w:styleId="SubtitleChar">
    <w:name w:val="Subtitle Char"/>
    <w:basedOn w:val="DefaultParagraphFont"/>
    <w:link w:val="Subtitle"/>
    <w:uiPriority w:val="11"/>
    <w:rsid w:val="00C31EE2"/>
    <w:rPr>
      <w:rFonts w:ascii="Arial" w:eastAsiaTheme="minorEastAsia" w:hAnsi="Arial"/>
      <w:b/>
      <w:color w:val="003366"/>
      <w:spacing w:val="15"/>
      <w:sz w:val="26"/>
    </w:rPr>
  </w:style>
  <w:style w:type="table" w:styleId="TableGrid">
    <w:name w:val="Table Grid"/>
    <w:basedOn w:val="TableNormal"/>
    <w:uiPriority w:val="39"/>
    <w:rsid w:val="00C3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ableofFigures"/>
    <w:qFormat/>
    <w:rsid w:val="00047344"/>
    <w:pPr>
      <w:jc w:val="center"/>
    </w:pPr>
  </w:style>
  <w:style w:type="paragraph" w:customStyle="1" w:styleId="TableHead">
    <w:name w:val="Table Head"/>
    <w:basedOn w:val="TableofFigures"/>
    <w:qFormat/>
    <w:rsid w:val="00047344"/>
    <w:pPr>
      <w:jc w:val="center"/>
    </w:pPr>
    <w:rPr>
      <w:b/>
    </w:rPr>
  </w:style>
  <w:style w:type="paragraph" w:customStyle="1" w:styleId="TableSub-heading">
    <w:name w:val="Table Sub-heading"/>
    <w:basedOn w:val="TableofFigures"/>
    <w:qFormat/>
    <w:rsid w:val="00047344"/>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Extent of Play Agreement Template</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Play Agreement Template</dc:title>
  <dc:subject/>
  <dc:creator>DHS FEMA</dc:creator>
  <cp:keywords>Extent of Play, Template, Extent of Play Agreement, XPA, HSEEP</cp:keywords>
  <dc:description/>
  <cp:lastModifiedBy>Cole Jesse-Kay</cp:lastModifiedBy>
  <cp:revision>6</cp:revision>
  <dcterms:created xsi:type="dcterms:W3CDTF">2016-11-29T23:36:00Z</dcterms:created>
  <dcterms:modified xsi:type="dcterms:W3CDTF">2018-07-27T19:38:00Z</dcterms:modified>
</cp:coreProperties>
</file>